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FB956D">
      <w:pPr>
        <w:spacing w:line="240" w:lineRule="auto"/>
        <w:rPr>
          <w:rFonts w:hint="default" w:ascii="Verdana" w:hAnsi="Verdana" w:cs="Verdana"/>
          <w:sz w:val="24"/>
          <w:szCs w:val="24"/>
          <w14:ligatures w14:val="none"/>
        </w:rPr>
      </w:pPr>
      <w:r>
        <w:rPr>
          <w:rFonts w:hint="default" w:ascii="Verdana" w:hAnsi="Verdana" w:cs="Verdana"/>
          <w:sz w:val="24"/>
          <w:szCs w:val="24"/>
          <w14:ligatures w14:val="none"/>
        </w:rPr>
        <w:drawing>
          <wp:inline distT="0" distB="0" distL="0" distR="0">
            <wp:extent cx="5675630" cy="1520825"/>
            <wp:effectExtent l="0" t="0" r="1270" b="3175"/>
            <wp:docPr id="1976551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551871"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675630" cy="1520825"/>
                    </a:xfrm>
                    <a:prstGeom prst="rect">
                      <a:avLst/>
                    </a:prstGeom>
                    <a:noFill/>
                  </pic:spPr>
                </pic:pic>
              </a:graphicData>
            </a:graphic>
          </wp:inline>
        </w:drawing>
      </w:r>
    </w:p>
    <w:p w14:paraId="30738E68">
      <w:pPr>
        <w:spacing w:line="240" w:lineRule="auto"/>
        <w:jc w:val="center"/>
        <w:rPr>
          <w:rFonts w:hint="default" w:ascii="Verdana" w:hAnsi="Verdana" w:eastAsia="Times New Roman" w:cs="Verdana"/>
          <w:b/>
          <w:bCs/>
          <w:color w:val="000000"/>
          <w:sz w:val="24"/>
          <w:szCs w:val="24"/>
        </w:rPr>
      </w:pPr>
    </w:p>
    <w:p w14:paraId="5570D776">
      <w:pPr>
        <w:spacing w:line="240" w:lineRule="auto"/>
        <w:jc w:val="center"/>
        <w:rPr>
          <w:rFonts w:hint="default" w:ascii="Verdana" w:hAnsi="Verdana" w:eastAsia="Times New Roman" w:cs="Verdana"/>
          <w:b/>
          <w:bCs/>
          <w:color w:val="000000"/>
          <w:sz w:val="24"/>
          <w:szCs w:val="24"/>
          <w:lang w:val="en-US"/>
        </w:rPr>
      </w:pPr>
      <w:r>
        <w:rPr>
          <w:rFonts w:hint="default" w:ascii="Verdana" w:hAnsi="Verdana" w:eastAsia="Times New Roman" w:cs="Verdana"/>
          <w:b/>
          <w:bCs/>
          <w:color w:val="000000"/>
          <w:sz w:val="24"/>
          <w:szCs w:val="24"/>
          <w:lang w:val="en-US"/>
        </w:rPr>
        <w:t>Keynote Address</w:t>
      </w:r>
    </w:p>
    <w:p w14:paraId="7A696C16">
      <w:pPr>
        <w:spacing w:line="240" w:lineRule="auto"/>
        <w:jc w:val="center"/>
        <w:rPr>
          <w:rFonts w:hint="default" w:ascii="Verdana" w:hAnsi="Verdana" w:cs="Verdana"/>
          <w:b/>
          <w:bCs/>
          <w:sz w:val="24"/>
          <w:szCs w:val="24"/>
          <w:lang w:val="en-US"/>
        </w:rPr>
      </w:pPr>
      <w:r>
        <w:rPr>
          <w:rFonts w:hint="default" w:ascii="Verdana" w:hAnsi="Verdana" w:cs="Verdana"/>
          <w:b/>
          <w:bCs/>
          <w:sz w:val="24"/>
          <w:szCs w:val="24"/>
          <w:lang w:val="en-US"/>
        </w:rPr>
        <w:t>By</w:t>
      </w:r>
    </w:p>
    <w:p w14:paraId="396470F8">
      <w:pPr>
        <w:spacing w:line="240" w:lineRule="auto"/>
        <w:jc w:val="center"/>
        <w:rPr>
          <w:rFonts w:hint="default" w:ascii="Verdana" w:hAnsi="Verdana" w:cs="Verdana"/>
          <w:b/>
          <w:bCs/>
          <w:sz w:val="24"/>
          <w:szCs w:val="24"/>
          <w:lang w:val="en-US"/>
        </w:rPr>
      </w:pPr>
      <w:r>
        <w:rPr>
          <w:rFonts w:hint="default" w:ascii="Verdana" w:hAnsi="Verdana" w:cs="Verdana"/>
          <w:b/>
          <w:bCs/>
          <w:sz w:val="24"/>
          <w:szCs w:val="24"/>
          <w:lang w:val="en-US"/>
        </w:rPr>
        <w:t xml:space="preserve">Kashifu Inuwa Abdullahi, </w:t>
      </w:r>
      <w:r>
        <w:rPr>
          <w:rFonts w:hint="default" w:ascii="Verdana" w:hAnsi="Verdana" w:cs="Verdana"/>
          <w:b/>
          <w:bCs/>
          <w:sz w:val="24"/>
          <w:szCs w:val="24"/>
          <w:vertAlign w:val="subscript"/>
          <w:lang w:val="en-US"/>
        </w:rPr>
        <w:t>C</w:t>
      </w:r>
      <w:r>
        <w:rPr>
          <w:rFonts w:hint="default" w:ascii="Verdana" w:hAnsi="Verdana" w:cs="Verdana"/>
          <w:b/>
          <w:bCs/>
          <w:sz w:val="24"/>
          <w:szCs w:val="24"/>
          <w:vertAlign w:val="subscript"/>
          <w:lang w:val="en-US"/>
        </w:rPr>
        <w:t>CIE</w:t>
      </w:r>
    </w:p>
    <w:p w14:paraId="5D4EA000">
      <w:pPr>
        <w:spacing w:after="123" w:line="240" w:lineRule="auto"/>
        <w:ind w:right="24"/>
        <w:jc w:val="center"/>
        <w:rPr>
          <w:rFonts w:hint="default" w:ascii="Verdana" w:hAnsi="Verdana" w:cs="Verdana"/>
          <w:b/>
          <w:bCs/>
          <w:sz w:val="24"/>
          <w:szCs w:val="24"/>
          <w:lang w:val="en-US"/>
        </w:rPr>
      </w:pPr>
      <w:r>
        <w:rPr>
          <w:rFonts w:hint="default" w:ascii="Verdana" w:hAnsi="Verdana" w:cs="Verdana"/>
          <w:b/>
          <w:bCs/>
          <w:i/>
          <w:sz w:val="24"/>
          <w:szCs w:val="24"/>
          <w:lang w:val="en-US"/>
        </w:rPr>
        <w:t xml:space="preserve">    Director General/C</w:t>
      </w:r>
      <w:r>
        <w:rPr>
          <w:rFonts w:hint="default" w:ascii="Verdana" w:hAnsi="Verdana" w:cs="Verdana"/>
          <w:b/>
          <w:bCs/>
          <w:i/>
          <w:sz w:val="24"/>
          <w:szCs w:val="24"/>
          <w:lang w:val="en-US"/>
        </w:rPr>
        <w:t>EO</w:t>
      </w:r>
      <w:r>
        <w:rPr>
          <w:rFonts w:hint="default" w:ascii="Verdana" w:hAnsi="Verdana" w:cs="Verdana"/>
          <w:b/>
          <w:bCs/>
          <w:i/>
          <w:sz w:val="24"/>
          <w:szCs w:val="24"/>
          <w:lang w:val="en-US"/>
        </w:rPr>
        <w:t>,</w:t>
      </w:r>
    </w:p>
    <w:p w14:paraId="2C5D0BE6">
      <w:pPr>
        <w:spacing w:after="120" w:line="240" w:lineRule="auto"/>
        <w:ind w:left="60"/>
        <w:jc w:val="center"/>
        <w:rPr>
          <w:rFonts w:hint="default" w:ascii="Verdana" w:hAnsi="Verdana" w:cs="Verdana"/>
          <w:b/>
          <w:bCs/>
          <w:iCs/>
          <w:sz w:val="24"/>
          <w:szCs w:val="24"/>
          <w:lang w:val="en-GB"/>
        </w:rPr>
      </w:pPr>
      <w:r>
        <w:rPr>
          <w:rFonts w:hint="default" w:ascii="Verdana" w:hAnsi="Verdana" w:cs="Verdana"/>
          <w:b/>
          <w:bCs/>
          <w:iCs/>
          <w:sz w:val="24"/>
          <w:szCs w:val="24"/>
          <w:lang w:val="en-GB"/>
        </w:rPr>
        <w:t>National Information Technology Development Agency (N</w:t>
      </w:r>
      <w:r>
        <w:rPr>
          <w:rFonts w:hint="default" w:ascii="Verdana" w:hAnsi="Verdana" w:cs="Verdana"/>
          <w:b/>
          <w:bCs/>
          <w:iCs/>
          <w:sz w:val="24"/>
          <w:szCs w:val="24"/>
          <w:lang w:val="en-US"/>
        </w:rPr>
        <w:t>ITDA</w:t>
      </w:r>
      <w:r>
        <w:rPr>
          <w:rFonts w:hint="default" w:ascii="Verdana" w:hAnsi="Verdana" w:cs="Verdana"/>
          <w:b/>
          <w:bCs/>
          <w:iCs/>
          <w:sz w:val="24"/>
          <w:szCs w:val="24"/>
          <w:lang w:val="en-GB"/>
        </w:rPr>
        <w:t>)</w:t>
      </w:r>
    </w:p>
    <w:p w14:paraId="4C8C8827">
      <w:pPr>
        <w:pStyle w:val="35"/>
        <w:spacing w:line="240" w:lineRule="auto"/>
        <w:rPr>
          <w:rFonts w:hint="default" w:ascii="Verdana" w:hAnsi="Verdana" w:cs="Verdana"/>
          <w:b/>
          <w:sz w:val="24"/>
          <w:szCs w:val="24"/>
        </w:rPr>
      </w:pPr>
      <w:r>
        <w:rPr>
          <w:rFonts w:hint="default" w:ascii="Verdana" w:hAnsi="Verdana" w:cs="Verdana"/>
          <w:b/>
          <w:sz w:val="24"/>
          <w:szCs w:val="24"/>
        </w:rPr>
        <w:t xml:space="preserve"> </w:t>
      </w:r>
    </w:p>
    <w:p w14:paraId="46502180">
      <w:pPr>
        <w:pStyle w:val="35"/>
        <w:spacing w:line="240" w:lineRule="auto"/>
        <w:jc w:val="center"/>
        <w:rPr>
          <w:rFonts w:hint="default" w:ascii="Verdana" w:hAnsi="Verdana" w:cs="Verdana"/>
          <w:b/>
          <w:sz w:val="24"/>
          <w:szCs w:val="24"/>
        </w:rPr>
      </w:pPr>
      <w:r>
        <w:rPr>
          <w:rFonts w:hint="default" w:ascii="Verdana" w:hAnsi="Verdana" w:cs="Verdana"/>
          <w:b/>
          <w:sz w:val="24"/>
          <w:szCs w:val="24"/>
        </w:rPr>
        <w:t xml:space="preserve">At </w:t>
      </w:r>
      <w:r>
        <w:rPr>
          <w:rFonts w:hint="default" w:ascii="Verdana" w:hAnsi="Verdana" w:cs="Verdana"/>
          <w:b/>
          <w:sz w:val="24"/>
          <w:szCs w:val="24"/>
          <w:lang w:val="en-US"/>
        </w:rPr>
        <w:t>t</w:t>
      </w:r>
      <w:r>
        <w:rPr>
          <w:rFonts w:hint="default" w:ascii="Verdana" w:hAnsi="Verdana" w:cs="Verdana"/>
          <w:b/>
          <w:sz w:val="24"/>
          <w:szCs w:val="24"/>
        </w:rPr>
        <w:t xml:space="preserve">he </w:t>
      </w:r>
    </w:p>
    <w:p w14:paraId="09B364AC">
      <w:pPr>
        <w:pStyle w:val="35"/>
        <w:spacing w:line="240" w:lineRule="auto"/>
        <w:jc w:val="center"/>
        <w:rPr>
          <w:rFonts w:hint="default" w:ascii="Verdana" w:hAnsi="Verdana" w:cs="Verdana"/>
          <w:b/>
          <w:sz w:val="24"/>
          <w:szCs w:val="24"/>
          <w:lang w:val="en-US"/>
        </w:rPr>
      </w:pPr>
    </w:p>
    <w:p w14:paraId="1B84A1EB">
      <w:pPr>
        <w:pStyle w:val="35"/>
        <w:spacing w:line="240" w:lineRule="auto"/>
        <w:jc w:val="center"/>
        <w:rPr>
          <w:rFonts w:hint="default" w:ascii="Verdana" w:hAnsi="Verdana" w:cs="Verdana"/>
          <w:b/>
          <w:sz w:val="24"/>
          <w:szCs w:val="24"/>
          <w:lang w:val="en-US"/>
        </w:rPr>
      </w:pPr>
      <w:r>
        <w:rPr>
          <w:rFonts w:hint="default" w:ascii="Verdana" w:hAnsi="Verdana" w:cs="Verdana"/>
          <w:b/>
          <w:sz w:val="24"/>
          <w:szCs w:val="24"/>
          <w:lang w:val="en-US"/>
        </w:rPr>
        <w:t>Nigeria Egovernment Summit</w:t>
      </w:r>
    </w:p>
    <w:p w14:paraId="60407F1C">
      <w:pPr>
        <w:pStyle w:val="35"/>
        <w:spacing w:line="240" w:lineRule="auto"/>
        <w:jc w:val="center"/>
        <w:rPr>
          <w:rFonts w:hint="default" w:ascii="Verdana" w:hAnsi="Verdana" w:cs="Verdana"/>
          <w:b/>
          <w:sz w:val="24"/>
          <w:szCs w:val="24"/>
          <w:lang w:val="en-US"/>
        </w:rPr>
      </w:pPr>
    </w:p>
    <w:p w14:paraId="6DA4E281">
      <w:pPr>
        <w:spacing w:line="240" w:lineRule="auto"/>
        <w:jc w:val="center"/>
        <w:rPr>
          <w:rFonts w:hint="default" w:ascii="Verdana" w:hAnsi="Verdana" w:eastAsia="Times New Roman" w:cs="Verdana"/>
          <w:b/>
          <w:bCs/>
          <w:color w:val="000000"/>
          <w:sz w:val="24"/>
          <w:szCs w:val="24"/>
        </w:rPr>
      </w:pPr>
      <w:r>
        <w:rPr>
          <w:rFonts w:hint="default" w:ascii="Verdana" w:hAnsi="Verdana" w:cs="Verdana"/>
          <w:b/>
          <w:bCs/>
          <w:sz w:val="24"/>
          <w:szCs w:val="24"/>
        </w:rPr>
        <w:t xml:space="preserve">Theme: </w:t>
      </w:r>
    </w:p>
    <w:p w14:paraId="4F68FFFA">
      <w:pPr>
        <w:spacing w:line="240" w:lineRule="auto"/>
        <w:jc w:val="center"/>
        <w:rPr>
          <w:rFonts w:hint="default" w:ascii="Verdana" w:hAnsi="Verdana" w:cs="Verdana"/>
          <w:b/>
          <w:bCs/>
          <w:sz w:val="24"/>
          <w:szCs w:val="24"/>
          <w:lang w:val="en-US"/>
        </w:rPr>
      </w:pPr>
      <w:r>
        <w:rPr>
          <w:rFonts w:hint="default" w:ascii="Verdana" w:hAnsi="Verdana" w:cs="Verdana"/>
          <w:b/>
          <w:bCs/>
          <w:sz w:val="24"/>
          <w:szCs w:val="24"/>
          <w:lang w:val="en-US"/>
        </w:rPr>
        <w:t>Mainstreaming Technology in Nigeria Election Management</w:t>
      </w:r>
    </w:p>
    <w:p w14:paraId="4A44793B">
      <w:pPr>
        <w:spacing w:line="240" w:lineRule="auto"/>
        <w:jc w:val="center"/>
        <w:rPr>
          <w:rFonts w:hint="default" w:ascii="Verdana" w:hAnsi="Verdana" w:cs="Verdana"/>
          <w:b/>
          <w:bCs/>
          <w:sz w:val="24"/>
          <w:szCs w:val="24"/>
        </w:rPr>
      </w:pPr>
    </w:p>
    <w:p w14:paraId="6126D4A1">
      <w:pPr>
        <w:spacing w:line="240" w:lineRule="auto"/>
        <w:jc w:val="center"/>
        <w:rPr>
          <w:rFonts w:hint="default" w:ascii="Verdana" w:hAnsi="Verdana" w:cs="Verdana"/>
          <w:b/>
          <w:bCs/>
          <w:sz w:val="24"/>
          <w:szCs w:val="24"/>
        </w:rPr>
      </w:pPr>
      <w:r>
        <w:rPr>
          <w:rFonts w:hint="default" w:ascii="Verdana" w:hAnsi="Verdana" w:cs="Verdana"/>
          <w:b/>
          <w:bCs/>
          <w:sz w:val="24"/>
          <w:szCs w:val="24"/>
        </w:rPr>
        <w:t>T</w:t>
      </w:r>
      <w:r>
        <w:rPr>
          <w:rFonts w:hint="default" w:ascii="Verdana" w:hAnsi="Verdana" w:cs="Verdana"/>
          <w:b/>
          <w:bCs/>
          <w:sz w:val="24"/>
          <w:szCs w:val="24"/>
          <w:lang w:val="en-US"/>
        </w:rPr>
        <w:t>hursday</w:t>
      </w:r>
      <w:r>
        <w:rPr>
          <w:rFonts w:hint="default" w:ascii="Verdana" w:hAnsi="Verdana" w:cs="Verdana"/>
          <w:b/>
          <w:bCs/>
          <w:sz w:val="24"/>
          <w:szCs w:val="24"/>
        </w:rPr>
        <w:t xml:space="preserve">, </w:t>
      </w:r>
      <w:r>
        <w:rPr>
          <w:rFonts w:hint="default" w:ascii="Verdana" w:hAnsi="Verdana" w:cs="Verdana"/>
          <w:b/>
          <w:bCs/>
          <w:sz w:val="24"/>
          <w:szCs w:val="24"/>
          <w:lang w:val="en-US"/>
        </w:rPr>
        <w:t>10</w:t>
      </w:r>
      <w:r>
        <w:rPr>
          <w:rFonts w:hint="default" w:ascii="Verdana" w:hAnsi="Verdana" w:cs="Verdana"/>
          <w:b/>
          <w:bCs/>
          <w:sz w:val="24"/>
          <w:szCs w:val="24"/>
        </w:rPr>
        <w:t xml:space="preserve">th </w:t>
      </w:r>
      <w:r>
        <w:rPr>
          <w:rFonts w:hint="default" w:ascii="Verdana" w:hAnsi="Verdana" w:cs="Verdana"/>
          <w:b/>
          <w:bCs/>
          <w:sz w:val="24"/>
          <w:szCs w:val="24"/>
          <w:lang w:val="en-US"/>
        </w:rPr>
        <w:t>September 2026</w:t>
      </w:r>
    </w:p>
    <w:p w14:paraId="4DEC41E3">
      <w:pPr>
        <w:spacing w:line="240" w:lineRule="auto"/>
        <w:jc w:val="both"/>
        <w:rPr>
          <w:rFonts w:hint="default" w:ascii="Verdana" w:hAnsi="Verdana" w:cs="Verdana"/>
          <w:b/>
          <w:bCs/>
          <w:sz w:val="24"/>
          <w:szCs w:val="24"/>
        </w:rPr>
      </w:pPr>
    </w:p>
    <w:p w14:paraId="616EAA68">
      <w:pPr>
        <w:spacing w:line="240" w:lineRule="auto"/>
        <w:jc w:val="center"/>
        <w:rPr>
          <w:rFonts w:hint="default" w:ascii="Verdana" w:hAnsi="Verdana" w:cs="Verdana"/>
          <w:b/>
          <w:bCs/>
          <w:sz w:val="24"/>
          <w:szCs w:val="24"/>
          <w:lang w:val="en-US"/>
        </w:rPr>
      </w:pPr>
      <w:r>
        <w:rPr>
          <w:rFonts w:hint="default" w:ascii="Verdana" w:hAnsi="Verdana" w:cs="Verdana"/>
          <w:b/>
          <w:bCs/>
          <w:sz w:val="24"/>
          <w:szCs w:val="24"/>
          <w:lang w:val="en-US"/>
        </w:rPr>
        <w:t>Radisson Blue Hotel, Ikeja, Lagos State</w:t>
      </w:r>
    </w:p>
    <w:p w14:paraId="739617A4">
      <w:pPr>
        <w:spacing w:line="240" w:lineRule="auto"/>
        <w:rPr>
          <w:rFonts w:hint="default" w:ascii="Verdana" w:hAnsi="Verdana" w:cs="Verdana"/>
          <w:sz w:val="24"/>
          <w:szCs w:val="24"/>
          <w14:ligatures w14:val="none"/>
        </w:rPr>
      </w:pPr>
    </w:p>
    <w:p w14:paraId="26A8367A">
      <w:pPr>
        <w:spacing w:line="240" w:lineRule="auto"/>
        <w:rPr>
          <w:rFonts w:hint="default" w:ascii="Verdana" w:hAnsi="Verdana" w:cs="Verdana"/>
          <w:b/>
          <w:bCs/>
          <w:sz w:val="24"/>
          <w:szCs w:val="24"/>
        </w:rPr>
      </w:pPr>
    </w:p>
    <w:p w14:paraId="2133CC75">
      <w:pPr>
        <w:spacing w:line="240" w:lineRule="auto"/>
        <w:rPr>
          <w:rFonts w:hint="default" w:ascii="Verdana" w:hAnsi="Verdana" w:cs="Verdana"/>
          <w:b/>
          <w:bCs/>
          <w:sz w:val="24"/>
          <w:szCs w:val="24"/>
        </w:rPr>
      </w:pPr>
    </w:p>
    <w:p w14:paraId="3AB753FD">
      <w:pPr>
        <w:spacing w:line="240" w:lineRule="auto"/>
        <w:rPr>
          <w:rFonts w:hint="default" w:ascii="Verdana" w:hAnsi="Verdana" w:cs="Verdana"/>
          <w:b/>
          <w:bCs/>
          <w:sz w:val="24"/>
          <w:szCs w:val="24"/>
        </w:rPr>
      </w:pPr>
    </w:p>
    <w:p w14:paraId="71B0BB06">
      <w:pPr>
        <w:spacing w:line="240" w:lineRule="auto"/>
        <w:rPr>
          <w:rFonts w:hint="default" w:ascii="Verdana" w:hAnsi="Verdana" w:cs="Verdana"/>
          <w:b/>
          <w:bCs/>
          <w:sz w:val="24"/>
          <w:szCs w:val="24"/>
        </w:rPr>
      </w:pPr>
    </w:p>
    <w:p w14:paraId="004015E5">
      <w:pPr>
        <w:spacing w:line="240" w:lineRule="auto"/>
        <w:rPr>
          <w:rFonts w:hint="default" w:ascii="Verdana" w:hAnsi="Verdana" w:cs="Verdana"/>
          <w:b/>
          <w:bCs/>
          <w:sz w:val="24"/>
          <w:szCs w:val="24"/>
        </w:rPr>
      </w:pPr>
    </w:p>
    <w:p w14:paraId="1C104158">
      <w:pPr>
        <w:spacing w:line="240" w:lineRule="auto"/>
        <w:rPr>
          <w:rFonts w:hint="default" w:ascii="Verdana" w:hAnsi="Verdana" w:cs="Verdana"/>
          <w:b/>
          <w:bCs/>
          <w:sz w:val="24"/>
          <w:szCs w:val="24"/>
        </w:rPr>
      </w:pPr>
    </w:p>
    <w:p w14:paraId="017CCE4D">
      <w:pPr>
        <w:spacing w:line="240" w:lineRule="auto"/>
        <w:rPr>
          <w:rFonts w:hint="default" w:ascii="Verdana" w:hAnsi="Verdana" w:cs="Verdana"/>
          <w:b/>
          <w:bCs/>
          <w:sz w:val="24"/>
          <w:szCs w:val="24"/>
        </w:rPr>
      </w:pPr>
    </w:p>
    <w:p w14:paraId="22F3BC8C">
      <w:pPr>
        <w:spacing w:line="240" w:lineRule="auto"/>
        <w:rPr>
          <w:rFonts w:hint="default" w:ascii="Verdana" w:hAnsi="Verdana" w:cs="Verdana"/>
          <w:b/>
          <w:bCs/>
          <w:sz w:val="24"/>
          <w:szCs w:val="24"/>
        </w:rPr>
      </w:pPr>
      <w:bookmarkStart w:id="0" w:name="_GoBack"/>
      <w:bookmarkEnd w:id="0"/>
    </w:p>
    <w:p w14:paraId="1F1EB59E">
      <w:pPr>
        <w:spacing w:line="240" w:lineRule="auto"/>
        <w:rPr>
          <w:rFonts w:hint="default" w:ascii="Verdana" w:hAnsi="Verdana" w:cs="Verdana"/>
          <w:b/>
          <w:bCs/>
          <w:sz w:val="24"/>
          <w:szCs w:val="24"/>
        </w:rPr>
      </w:pPr>
    </w:p>
    <w:p w14:paraId="3EC00A9D">
      <w:pPr>
        <w:spacing w:line="240" w:lineRule="auto"/>
        <w:rPr>
          <w:rFonts w:hint="default" w:ascii="Verdana" w:hAnsi="Verdana" w:cs="Verdana"/>
          <w:b/>
          <w:bCs/>
          <w:sz w:val="24"/>
          <w:szCs w:val="24"/>
        </w:rPr>
      </w:pPr>
      <w:r>
        <w:rPr>
          <w:rFonts w:hint="default" w:ascii="Verdana" w:hAnsi="Verdana" w:cs="Verdana"/>
          <w:b/>
          <w:bCs/>
          <w:sz w:val="24"/>
          <w:szCs w:val="24"/>
        </w:rPr>
        <w:t>Protocols…</w:t>
      </w:r>
    </w:p>
    <w:p w14:paraId="6863EC18">
      <w:pPr>
        <w:spacing w:line="240" w:lineRule="auto"/>
        <w:rPr>
          <w:rFonts w:hint="default" w:ascii="Verdana" w:hAnsi="Verdana" w:cs="Verdana"/>
          <w:sz w:val="24"/>
          <w:szCs w:val="24"/>
        </w:rPr>
      </w:pPr>
      <w:r>
        <w:rPr>
          <w:rFonts w:hint="default" w:ascii="Verdana" w:hAnsi="Verdana" w:cs="Verdana"/>
          <w:sz w:val="24"/>
          <w:szCs w:val="24"/>
        </w:rPr>
        <w:t>Distinguished guests, ladies and gentlemen,</w:t>
      </w:r>
    </w:p>
    <w:p w14:paraId="5C65445C">
      <w:pPr>
        <w:spacing w:line="240" w:lineRule="auto"/>
        <w:rPr>
          <w:rFonts w:hint="default" w:ascii="Verdana" w:hAnsi="Verdana" w:cs="Verdana"/>
          <w:sz w:val="24"/>
          <w:szCs w:val="24"/>
        </w:rPr>
      </w:pPr>
      <w:r>
        <w:rPr>
          <w:rFonts w:hint="default" w:ascii="Verdana" w:hAnsi="Verdana" w:cs="Verdana"/>
          <w:sz w:val="24"/>
          <w:szCs w:val="24"/>
        </w:rPr>
        <w:t xml:space="preserve">It is an honour to deliver this keynote at the 2026 </w:t>
      </w:r>
      <w:r>
        <w:rPr>
          <w:rFonts w:hint="default" w:ascii="Verdana" w:hAnsi="Verdana" w:cs="Verdana"/>
          <w:sz w:val="24"/>
          <w:szCs w:val="24"/>
          <w:lang w:val="en-US"/>
        </w:rPr>
        <w:t xml:space="preserve">Nigeria </w:t>
      </w:r>
      <w:r>
        <w:rPr>
          <w:rFonts w:hint="default" w:ascii="Verdana" w:hAnsi="Verdana" w:cs="Verdana"/>
          <w:sz w:val="24"/>
          <w:szCs w:val="24"/>
        </w:rPr>
        <w:t xml:space="preserve">eGovernment Summit, themed </w:t>
      </w:r>
      <w:r>
        <w:rPr>
          <w:rFonts w:hint="default" w:ascii="Verdana" w:hAnsi="Verdana" w:cs="Verdana"/>
          <w:i/>
          <w:iCs/>
          <w:sz w:val="24"/>
          <w:szCs w:val="24"/>
        </w:rPr>
        <w:t>“Mainstreaming Technologies in Nigeria Election Management.”</w:t>
      </w:r>
      <w:r>
        <w:rPr>
          <w:rFonts w:hint="default" w:ascii="Verdana" w:hAnsi="Verdana" w:cs="Verdana"/>
          <w:sz w:val="24"/>
          <w:szCs w:val="24"/>
        </w:rPr>
        <w:t xml:space="preserve"> This theme is timely, as Nigeria continues to explore how digital technologies can strengthen transparency, efficiency, and trust in our electoral process.</w:t>
      </w:r>
    </w:p>
    <w:p w14:paraId="583C14EB">
      <w:pPr>
        <w:spacing w:line="240" w:lineRule="auto"/>
        <w:rPr>
          <w:rFonts w:hint="default" w:ascii="Verdana" w:hAnsi="Verdana" w:eastAsia="SimSun" w:cs="Verdana"/>
          <w:sz w:val="24"/>
          <w:szCs w:val="24"/>
        </w:rPr>
      </w:pPr>
      <w:r>
        <w:rPr>
          <w:rFonts w:hint="default" w:ascii="Verdana" w:hAnsi="Verdana" w:eastAsia="SimSun" w:cs="Verdana"/>
          <w:sz w:val="24"/>
          <w:szCs w:val="24"/>
        </w:rPr>
        <w:t xml:space="preserve">Over the years, Nigeria has made notable progress in deploying technology to strengthen its electoral process. A key innovation has been the introduction of the </w:t>
      </w:r>
      <w:r>
        <w:rPr>
          <w:rStyle w:val="14"/>
          <w:rFonts w:hint="default" w:ascii="Verdana" w:hAnsi="Verdana" w:eastAsia="SimSun" w:cs="Verdana"/>
          <w:sz w:val="24"/>
          <w:szCs w:val="24"/>
        </w:rPr>
        <w:t>Bimodal Voter Accreditation System (BVAS)</w:t>
      </w:r>
      <w:r>
        <w:rPr>
          <w:rStyle w:val="14"/>
          <w:rFonts w:hint="default" w:ascii="Verdana" w:hAnsi="Verdana" w:eastAsia="SimSun" w:cs="Verdana"/>
          <w:sz w:val="24"/>
          <w:szCs w:val="24"/>
          <w:lang w:val="en-US"/>
        </w:rPr>
        <w:t xml:space="preserve"> </w:t>
      </w:r>
      <w:r>
        <w:rPr>
          <w:rStyle w:val="14"/>
          <w:rFonts w:hint="default" w:ascii="Verdana" w:hAnsi="Verdana" w:eastAsia="SimSun" w:cs="Verdana"/>
          <w:b w:val="0"/>
          <w:bCs w:val="0"/>
          <w:sz w:val="24"/>
          <w:szCs w:val="24"/>
          <w:lang w:val="en-US"/>
        </w:rPr>
        <w:t>by the</w:t>
      </w:r>
      <w:r>
        <w:rPr>
          <w:rStyle w:val="14"/>
          <w:rFonts w:hint="default" w:ascii="Verdana" w:hAnsi="Verdana" w:eastAsia="SimSun" w:cs="Verdana"/>
          <w:sz w:val="24"/>
          <w:szCs w:val="24"/>
          <w:lang w:val="en-US"/>
        </w:rPr>
        <w:t xml:space="preserve"> </w:t>
      </w:r>
      <w:r>
        <w:rPr>
          <w:rFonts w:hint="default" w:ascii="Verdana" w:hAnsi="Verdana" w:eastAsia="SimSun" w:cs="Verdana"/>
          <w:sz w:val="24"/>
          <w:szCs w:val="24"/>
        </w:rPr>
        <w:t>Independent National Electoral Commission</w:t>
      </w:r>
      <w:r>
        <w:rPr>
          <w:rFonts w:hint="default" w:ascii="Verdana" w:hAnsi="Verdana" w:eastAsia="SimSun" w:cs="Verdana"/>
          <w:sz w:val="24"/>
          <w:szCs w:val="24"/>
          <w:lang w:val="en-US"/>
        </w:rPr>
        <w:t xml:space="preserve"> </w:t>
      </w:r>
      <w:r>
        <w:rPr>
          <w:rFonts w:hint="default" w:ascii="Verdana" w:hAnsi="Verdana" w:eastAsia="SimSun" w:cs="Verdana"/>
          <w:b w:val="0"/>
          <w:bCs w:val="0"/>
          <w:sz w:val="24"/>
          <w:szCs w:val="24"/>
          <w:lang w:val="en-US"/>
        </w:rPr>
        <w:t>(</w:t>
      </w:r>
      <w:r>
        <w:rPr>
          <w:rStyle w:val="14"/>
          <w:rFonts w:hint="default" w:ascii="Verdana" w:hAnsi="Verdana" w:cs="Verdana"/>
          <w:b w:val="0"/>
          <w:bCs w:val="0"/>
        </w:rPr>
        <w:t>INEC</w:t>
      </w:r>
      <w:r>
        <w:rPr>
          <w:rStyle w:val="14"/>
          <w:rFonts w:hint="default" w:ascii="Verdana" w:hAnsi="Verdana" w:cs="Verdana"/>
          <w:b w:val="0"/>
          <w:bCs w:val="0"/>
          <w:lang w:val="en-US"/>
        </w:rPr>
        <w:t>)</w:t>
      </w:r>
      <w:r>
        <w:rPr>
          <w:rStyle w:val="14"/>
          <w:rFonts w:hint="default" w:ascii="Verdana" w:hAnsi="Verdana" w:cs="Verdana"/>
          <w:b w:val="0"/>
          <w:bCs w:val="0"/>
        </w:rPr>
        <w:t xml:space="preserve"> during the Isoko South Constituency I bye-election in Delta State on September 11, 2021</w:t>
      </w:r>
      <w:r>
        <w:rPr>
          <w:rStyle w:val="14"/>
          <w:rFonts w:hint="default" w:ascii="Verdana" w:hAnsi="Verdana" w:cs="Verdana"/>
          <w:b w:val="0"/>
          <w:bCs w:val="0"/>
          <w:lang w:val="en-US"/>
        </w:rPr>
        <w:t xml:space="preserve">and </w:t>
      </w:r>
      <w:r>
        <w:rPr>
          <w:rFonts w:hint="default" w:ascii="Verdana" w:hAnsi="Verdana" w:eastAsia="SimSun" w:cs="Verdana"/>
          <w:sz w:val="24"/>
          <w:szCs w:val="24"/>
        </w:rPr>
        <w:t xml:space="preserve"> during the </w:t>
      </w:r>
      <w:r>
        <w:rPr>
          <w:rStyle w:val="14"/>
          <w:rFonts w:hint="default" w:ascii="Verdana" w:hAnsi="Verdana" w:eastAsia="SimSun" w:cs="Verdana"/>
          <w:sz w:val="24"/>
          <w:szCs w:val="24"/>
        </w:rPr>
        <w:t>Anambra Governorship Election in 2021</w:t>
      </w:r>
      <w:r>
        <w:rPr>
          <w:rFonts w:hint="default" w:ascii="Verdana" w:hAnsi="Verdana" w:eastAsia="SimSun" w:cs="Verdana"/>
          <w:sz w:val="24"/>
          <w:szCs w:val="24"/>
        </w:rPr>
        <w:t xml:space="preserve">, where nearly 6,900 devices were used across polling units. BVAS authenticates voters using both fingerprint and facial recognition, which the INEC confirmed has effectively eliminated multiple voting and impersonation. </w:t>
      </w:r>
    </w:p>
    <w:p w14:paraId="34F17FFF">
      <w:pPr>
        <w:spacing w:line="240" w:lineRule="auto"/>
        <w:rPr>
          <w:rFonts w:hint="default" w:ascii="Verdana" w:hAnsi="Verdana" w:eastAsia="SimSun" w:cs="Verdana"/>
          <w:sz w:val="24"/>
          <w:szCs w:val="24"/>
          <w:lang w:val="en-US"/>
        </w:rPr>
      </w:pPr>
      <w:r>
        <w:rPr>
          <w:rFonts w:hint="default" w:ascii="Verdana" w:hAnsi="Verdana" w:eastAsia="SimSun" w:cs="Verdana"/>
          <w:sz w:val="24"/>
          <w:szCs w:val="24"/>
        </w:rPr>
        <w:t xml:space="preserve">The </w:t>
      </w:r>
      <w:r>
        <w:rPr>
          <w:rStyle w:val="14"/>
          <w:rFonts w:hint="default" w:ascii="Verdana" w:hAnsi="Verdana" w:eastAsia="SimSun" w:cs="Verdana"/>
          <w:sz w:val="24"/>
          <w:szCs w:val="24"/>
        </w:rPr>
        <w:t>Electoral Act 2022</w:t>
      </w:r>
      <w:r>
        <w:rPr>
          <w:rFonts w:hint="default" w:ascii="Verdana" w:hAnsi="Verdana" w:eastAsia="SimSun" w:cs="Verdana"/>
          <w:sz w:val="24"/>
          <w:szCs w:val="24"/>
        </w:rPr>
        <w:t xml:space="preserve"> further gave BVAS statutory legitimacy, transforming it into a legally protected electoral tool. In practice, BVAS has improved accreditation accuracy and transparency, with INEC reporting that </w:t>
      </w:r>
      <w:r>
        <w:rPr>
          <w:rStyle w:val="14"/>
          <w:rFonts w:hint="default" w:ascii="Verdana" w:hAnsi="Verdana" w:eastAsia="SimSun" w:cs="Verdana"/>
          <w:sz w:val="24"/>
          <w:szCs w:val="24"/>
        </w:rPr>
        <w:t xml:space="preserve">over 99% </w:t>
      </w:r>
      <w:r>
        <w:rPr>
          <w:rStyle w:val="14"/>
          <w:rFonts w:hint="default" w:ascii="Verdana" w:hAnsi="Verdana" w:eastAsia="SimSun" w:cs="Verdana"/>
          <w:b w:val="0"/>
          <w:bCs w:val="0"/>
          <w:sz w:val="24"/>
          <w:szCs w:val="24"/>
        </w:rPr>
        <w:t xml:space="preserve">of polling unit results were uploaded to the INEC </w:t>
      </w:r>
      <w:r>
        <w:rPr>
          <w:rStyle w:val="14"/>
          <w:rFonts w:hint="default" w:ascii="Verdana" w:hAnsi="Verdana" w:eastAsia="SimSun" w:cs="Verdana"/>
          <w:sz w:val="24"/>
          <w:szCs w:val="24"/>
        </w:rPr>
        <w:t xml:space="preserve">Result Viewing (IReV) </w:t>
      </w:r>
      <w:r>
        <w:rPr>
          <w:rStyle w:val="14"/>
          <w:rFonts w:hint="default" w:ascii="Verdana" w:hAnsi="Verdana" w:eastAsia="SimSun" w:cs="Verdana"/>
          <w:b w:val="0"/>
          <w:bCs w:val="0"/>
          <w:sz w:val="24"/>
          <w:szCs w:val="24"/>
        </w:rPr>
        <w:t>portal on Election Day in Anambra</w:t>
      </w:r>
      <w:r>
        <w:rPr>
          <w:rFonts w:hint="default" w:ascii="Verdana" w:hAnsi="Verdana" w:eastAsia="SimSun" w:cs="Verdana"/>
          <w:sz w:val="24"/>
          <w:szCs w:val="24"/>
        </w:rPr>
        <w:t xml:space="preserve">, allowing real-time public access. Civil society observers also noted its success in reducing impersonation during subsequent elections, such as the </w:t>
      </w:r>
      <w:r>
        <w:rPr>
          <w:rStyle w:val="14"/>
          <w:rFonts w:hint="default" w:ascii="Verdana" w:hAnsi="Verdana" w:eastAsia="SimSun" w:cs="Verdana"/>
          <w:sz w:val="24"/>
          <w:szCs w:val="24"/>
        </w:rPr>
        <w:t>Osun Governorship Election in 2022</w:t>
      </w:r>
      <w:r>
        <w:rPr>
          <w:rFonts w:hint="default" w:ascii="Verdana" w:hAnsi="Verdana" w:eastAsia="SimSun" w:cs="Verdana"/>
          <w:sz w:val="24"/>
          <w:szCs w:val="24"/>
        </w:rPr>
        <w:t>, though they highlighted challenges like occasional device failures and connectivity issues in rural areas. Overall, BVAS represents a significant step forward in Nigeria’s electoral reforms, combining biometric verification with digital transparency to enhance credibility.</w:t>
      </w:r>
    </w:p>
    <w:p w14:paraId="33FC6FFD">
      <w:pPr>
        <w:spacing w:line="240" w:lineRule="auto"/>
        <w:rPr>
          <w:rFonts w:hint="default" w:ascii="Verdana" w:hAnsi="Verdana" w:cs="Verdana"/>
          <w:sz w:val="24"/>
          <w:szCs w:val="24"/>
        </w:rPr>
      </w:pPr>
      <w:r>
        <w:rPr>
          <w:rFonts w:hint="default" w:ascii="Verdana" w:hAnsi="Verdana" w:cs="Verdana"/>
          <w:sz w:val="24"/>
          <w:szCs w:val="24"/>
        </w:rPr>
        <w:t xml:space="preserve">The introduction of BVAS </w:t>
      </w:r>
      <w:r>
        <w:rPr>
          <w:rFonts w:hint="default" w:ascii="Verdana" w:hAnsi="Verdana" w:cs="Verdana"/>
          <w:sz w:val="24"/>
          <w:szCs w:val="24"/>
          <w:lang w:val="en-US"/>
        </w:rPr>
        <w:t xml:space="preserve">has indeed </w:t>
      </w:r>
      <w:r>
        <w:rPr>
          <w:rFonts w:hint="default" w:ascii="Verdana" w:hAnsi="Verdana" w:cs="Verdana"/>
          <w:sz w:val="24"/>
          <w:szCs w:val="24"/>
        </w:rPr>
        <w:t xml:space="preserve">reduced impersonation and improved voter accreditation. Yet, as our experience has shown, BVAS alone cannot fully address concerns about transparency in collation and auditing. This is where emerging technologies such as </w:t>
      </w:r>
      <w:r>
        <w:rPr>
          <w:rFonts w:hint="default" w:ascii="Verdana" w:hAnsi="Verdana" w:cs="Verdana"/>
          <w:sz w:val="24"/>
          <w:szCs w:val="24"/>
          <w:lang w:val="en-US"/>
        </w:rPr>
        <w:t>B</w:t>
      </w:r>
      <w:r>
        <w:rPr>
          <w:rFonts w:hint="default" w:ascii="Verdana" w:hAnsi="Verdana" w:cs="Verdana"/>
          <w:sz w:val="24"/>
          <w:szCs w:val="24"/>
        </w:rPr>
        <w:t xml:space="preserve">lockchain and </w:t>
      </w:r>
      <w:r>
        <w:rPr>
          <w:rFonts w:hint="default" w:ascii="Verdana" w:hAnsi="Verdana" w:cs="Verdana"/>
          <w:sz w:val="24"/>
          <w:szCs w:val="24"/>
          <w:lang w:val="en-US"/>
        </w:rPr>
        <w:t>A</w:t>
      </w:r>
      <w:r>
        <w:rPr>
          <w:rFonts w:hint="default" w:ascii="Verdana" w:hAnsi="Verdana" w:cs="Verdana"/>
          <w:sz w:val="24"/>
          <w:szCs w:val="24"/>
        </w:rPr>
        <w:t xml:space="preserve">rtificial </w:t>
      </w:r>
      <w:r>
        <w:rPr>
          <w:rFonts w:hint="default" w:ascii="Verdana" w:hAnsi="Verdana" w:cs="Verdana"/>
          <w:sz w:val="24"/>
          <w:szCs w:val="24"/>
          <w:lang w:val="en-US"/>
        </w:rPr>
        <w:t>I</w:t>
      </w:r>
      <w:r>
        <w:rPr>
          <w:rFonts w:hint="default" w:ascii="Verdana" w:hAnsi="Verdana" w:cs="Verdana"/>
          <w:sz w:val="24"/>
          <w:szCs w:val="24"/>
        </w:rPr>
        <w:t>ntelligence (AI) can play a transformative role.</w:t>
      </w:r>
    </w:p>
    <w:p w14:paraId="29B5AC54">
      <w:pPr>
        <w:pStyle w:val="13"/>
        <w:keepNext w:val="0"/>
        <w:keepLines w:val="0"/>
        <w:widowControl/>
        <w:suppressLineNumbers w:val="0"/>
        <w:spacing w:line="240" w:lineRule="auto"/>
        <w:rPr>
          <w:rFonts w:hint="default" w:ascii="Verdana" w:hAnsi="Verdana" w:cs="Verdana"/>
        </w:rPr>
      </w:pPr>
      <w:r>
        <w:rPr>
          <w:rFonts w:hint="default" w:ascii="Verdana" w:hAnsi="Verdana" w:cs="Verdana"/>
        </w:rPr>
        <w:t>Blockchain delivers an immutable ledger—records that cannot be altered without immediate detection. Picture every polling unit result permanently secured on a distributed ledger, accessible in real time to INEC, political parties, observers, and citizens alike. Such radical transparency would shut the door on manipulation, making electoral fraud virtually impossible.</w:t>
      </w:r>
    </w:p>
    <w:p w14:paraId="7EBCC052">
      <w:pPr>
        <w:pStyle w:val="13"/>
        <w:keepNext w:val="0"/>
        <w:keepLines w:val="0"/>
        <w:widowControl/>
        <w:suppressLineNumbers w:val="0"/>
        <w:spacing w:line="240" w:lineRule="auto"/>
        <w:rPr>
          <w:rFonts w:hint="default" w:ascii="Verdana" w:hAnsi="Verdana" w:cs="Verdana"/>
        </w:rPr>
      </w:pPr>
      <w:r>
        <w:rPr>
          <w:rFonts w:hint="default" w:ascii="Verdana" w:hAnsi="Verdana" w:cs="Verdana"/>
        </w:rPr>
        <w:t xml:space="preserve">Artificial Intelligence </w:t>
      </w:r>
      <w:r>
        <w:rPr>
          <w:rFonts w:hint="default" w:ascii="Verdana" w:hAnsi="Verdana" w:cs="Verdana"/>
          <w:lang w:val="en-US"/>
        </w:rPr>
        <w:t xml:space="preserve">on the other hand comes with a </w:t>
      </w:r>
      <w:r>
        <w:rPr>
          <w:rFonts w:hint="default" w:ascii="Verdana" w:hAnsi="Verdana" w:cs="Verdana"/>
        </w:rPr>
        <w:t>compl</w:t>
      </w:r>
      <w:r>
        <w:rPr>
          <w:rFonts w:hint="default" w:ascii="Verdana" w:hAnsi="Verdana" w:cs="Verdana"/>
          <w:lang w:val="en-US"/>
        </w:rPr>
        <w:t xml:space="preserve">imentary role in </w:t>
      </w:r>
      <w:r>
        <w:rPr>
          <w:rFonts w:hint="default" w:ascii="Verdana" w:hAnsi="Verdana" w:cs="Verdana"/>
        </w:rPr>
        <w:t>providing continuous, real-time auditing. With AI-driven anomaly detection, irregularities are flagged the moment they occur, ensuring that attempts at tampering are exposed instantly. Together, blockchain and AI form a formidable shield for democracy: one guarantees incorruptible records, the other ensures vigilant oversight.</w:t>
      </w:r>
    </w:p>
    <w:p w14:paraId="30F57E75">
      <w:pPr>
        <w:spacing w:line="240" w:lineRule="auto"/>
        <w:rPr>
          <w:rFonts w:hint="default" w:ascii="Verdana" w:hAnsi="Verdana" w:cs="Verdana"/>
          <w:sz w:val="24"/>
          <w:szCs w:val="24"/>
        </w:rPr>
      </w:pPr>
    </w:p>
    <w:p w14:paraId="04230767">
      <w:pPr>
        <w:spacing w:line="240" w:lineRule="auto"/>
        <w:rPr>
          <w:rFonts w:hint="default" w:ascii="Verdana" w:hAnsi="Verdana" w:cs="Verdana"/>
          <w:sz w:val="24"/>
          <w:szCs w:val="24"/>
        </w:rPr>
      </w:pPr>
      <w:r>
        <w:rPr>
          <w:rFonts w:hint="default" w:ascii="Verdana" w:hAnsi="Verdana" w:cs="Verdana"/>
          <w:sz w:val="24"/>
          <w:szCs w:val="24"/>
        </w:rPr>
        <w:t>At NITDA, our mandate is to drive Nigeria’s digital transformation, and we have already laid strong foundations that can support innovations in electoral management:</w:t>
      </w:r>
    </w:p>
    <w:p w14:paraId="09B755C1">
      <w:pPr>
        <w:numPr>
          <w:ilvl w:val="0"/>
          <w:numId w:val="1"/>
        </w:numPr>
        <w:spacing w:line="240" w:lineRule="auto"/>
        <w:rPr>
          <w:rFonts w:hint="default" w:ascii="Verdana" w:hAnsi="Verdana" w:cs="Verdana"/>
          <w:sz w:val="24"/>
          <w:szCs w:val="24"/>
        </w:rPr>
      </w:pPr>
      <w:r>
        <w:rPr>
          <w:rFonts w:hint="default" w:ascii="Verdana" w:hAnsi="Verdana" w:eastAsia="SimSun" w:cs="Verdana"/>
          <w:sz w:val="24"/>
          <w:szCs w:val="24"/>
          <w:lang w:val="en-US"/>
        </w:rPr>
        <w:t xml:space="preserve">NITDA coordinated the development of the </w:t>
      </w:r>
      <w:r>
        <w:rPr>
          <w:rFonts w:hint="default" w:ascii="Verdana" w:hAnsi="Verdana" w:eastAsia="SimSun" w:cs="Verdana"/>
          <w:sz w:val="24"/>
          <w:szCs w:val="24"/>
        </w:rPr>
        <w:t>Nigeria</w:t>
      </w:r>
      <w:r>
        <w:rPr>
          <w:rFonts w:hint="default" w:ascii="Verdana" w:hAnsi="Verdana" w:eastAsia="SimSun" w:cs="Verdana"/>
          <w:sz w:val="24"/>
          <w:szCs w:val="24"/>
          <w:lang w:val="en-US"/>
        </w:rPr>
        <w:t>’s</w:t>
      </w:r>
      <w:r>
        <w:rPr>
          <w:rFonts w:hint="default" w:ascii="Verdana" w:hAnsi="Verdana" w:eastAsia="SimSun" w:cs="Verdana"/>
          <w:sz w:val="24"/>
          <w:szCs w:val="24"/>
        </w:rPr>
        <w:t xml:space="preserve"> approved its first National Blockchain Policy on May 3, 2023, making it the first African country to adopt a nationwide blockchain framework. The policy aims to harness blockchain for transparency, efficiency, security, financial inclusion, and job creation, with implementation led by the Federal Ministry of Communications and Digital Economy (FMC</w:t>
      </w:r>
      <w:r>
        <w:rPr>
          <w:rFonts w:hint="default" w:ascii="Verdana" w:hAnsi="Verdana" w:eastAsia="SimSun" w:cs="Verdana"/>
          <w:sz w:val="24"/>
          <w:szCs w:val="24"/>
          <w:lang w:val="en-US"/>
        </w:rPr>
        <w:t>I</w:t>
      </w:r>
      <w:r>
        <w:rPr>
          <w:rFonts w:hint="default" w:ascii="Verdana" w:hAnsi="Verdana" w:eastAsia="SimSun" w:cs="Verdana"/>
          <w:sz w:val="24"/>
          <w:szCs w:val="24"/>
        </w:rPr>
        <w:t>DE</w:t>
      </w:r>
      <w:r>
        <w:rPr>
          <w:rFonts w:hint="default" w:ascii="Verdana" w:hAnsi="Verdana" w:eastAsia="SimSun" w:cs="Verdana"/>
          <w:sz w:val="24"/>
          <w:szCs w:val="24"/>
          <w:lang w:val="en-US"/>
        </w:rPr>
        <w:t>)</w:t>
      </w:r>
    </w:p>
    <w:p w14:paraId="4EDFAAE5">
      <w:pPr>
        <w:numPr>
          <w:ilvl w:val="0"/>
          <w:numId w:val="1"/>
        </w:numPr>
        <w:spacing w:line="240" w:lineRule="auto"/>
        <w:rPr>
          <w:rFonts w:hint="default" w:ascii="Verdana" w:hAnsi="Verdana" w:cs="Verdana"/>
          <w:sz w:val="24"/>
          <w:szCs w:val="24"/>
        </w:rPr>
      </w:pPr>
      <w:r>
        <w:rPr>
          <w:rFonts w:hint="default" w:ascii="Verdana" w:hAnsi="Verdana" w:cs="Verdana"/>
          <w:sz w:val="24"/>
          <w:szCs w:val="24"/>
        </w:rPr>
        <w:t xml:space="preserve">We launched Nigeria’s </w:t>
      </w:r>
      <w:r>
        <w:rPr>
          <w:rFonts w:hint="default" w:ascii="Verdana" w:hAnsi="Verdana" w:cs="Verdana"/>
          <w:sz w:val="24"/>
          <w:szCs w:val="24"/>
          <w:lang w:val="en-US"/>
        </w:rPr>
        <w:t xml:space="preserve">National </w:t>
      </w:r>
      <w:r>
        <w:rPr>
          <w:rFonts w:hint="default" w:ascii="Verdana" w:hAnsi="Verdana" w:cs="Verdana"/>
          <w:sz w:val="24"/>
          <w:szCs w:val="24"/>
        </w:rPr>
        <w:t>Digital Literacy Framework to achieve 95% digital literacy by 2030. This ensures citizens and officials can effectively use digital tools, including those deployed in elections.</w:t>
      </w:r>
    </w:p>
    <w:p w14:paraId="75AC0109">
      <w:pPr>
        <w:numPr>
          <w:ilvl w:val="0"/>
          <w:numId w:val="1"/>
        </w:numPr>
        <w:spacing w:line="240" w:lineRule="auto"/>
        <w:rPr>
          <w:rFonts w:hint="default" w:ascii="Verdana" w:hAnsi="Verdana" w:cs="Verdana"/>
          <w:sz w:val="24"/>
          <w:szCs w:val="24"/>
        </w:rPr>
      </w:pPr>
      <w:r>
        <w:rPr>
          <w:rFonts w:hint="default" w:ascii="Verdana" w:hAnsi="Verdana" w:cs="Verdana"/>
          <w:sz w:val="24"/>
          <w:szCs w:val="24"/>
        </w:rPr>
        <w:t xml:space="preserve">Through the </w:t>
      </w:r>
      <w:r>
        <w:rPr>
          <w:rFonts w:hint="default" w:ascii="Verdana" w:hAnsi="Verdana" w:cs="Verdana"/>
          <w:i/>
          <w:iCs/>
          <w:sz w:val="24"/>
          <w:szCs w:val="24"/>
        </w:rPr>
        <w:t>Three Million Technical Talent (3MTT)</w:t>
      </w:r>
      <w:r>
        <w:rPr>
          <w:rFonts w:hint="default" w:ascii="Verdana" w:hAnsi="Verdana" w:cs="Verdana"/>
          <w:sz w:val="24"/>
          <w:szCs w:val="24"/>
        </w:rPr>
        <w:t xml:space="preserve"> </w:t>
      </w:r>
      <w:r>
        <w:rPr>
          <w:rFonts w:hint="default" w:ascii="Verdana" w:hAnsi="Verdana" w:cs="Verdana"/>
          <w:sz w:val="24"/>
          <w:szCs w:val="24"/>
          <w:lang w:val="en-US"/>
        </w:rPr>
        <w:t xml:space="preserve">and Digital Literact for All (DL4ALL) </w:t>
      </w:r>
      <w:r>
        <w:rPr>
          <w:rFonts w:hint="default" w:ascii="Verdana" w:hAnsi="Verdana" w:cs="Verdana"/>
          <w:sz w:val="24"/>
          <w:szCs w:val="24"/>
        </w:rPr>
        <w:t>initiative</w:t>
      </w:r>
      <w:r>
        <w:rPr>
          <w:rFonts w:hint="default" w:ascii="Verdana" w:hAnsi="Verdana" w:cs="Verdana"/>
          <w:sz w:val="24"/>
          <w:szCs w:val="24"/>
          <w:lang w:val="en-US"/>
        </w:rPr>
        <w:t>s</w:t>
      </w:r>
      <w:r>
        <w:rPr>
          <w:rFonts w:hint="default" w:ascii="Verdana" w:hAnsi="Verdana" w:cs="Verdana"/>
          <w:sz w:val="24"/>
          <w:szCs w:val="24"/>
        </w:rPr>
        <w:t xml:space="preserve">, NITDA is building a pool of skilled </w:t>
      </w:r>
      <w:r>
        <w:rPr>
          <w:rFonts w:hint="default" w:ascii="Verdana" w:hAnsi="Verdana" w:cs="Verdana"/>
          <w:sz w:val="24"/>
          <w:szCs w:val="24"/>
          <w:lang w:val="en-US"/>
        </w:rPr>
        <w:t>manpower</w:t>
      </w:r>
      <w:r>
        <w:rPr>
          <w:rFonts w:hint="default" w:ascii="Verdana" w:hAnsi="Verdana" w:cs="Verdana"/>
          <w:sz w:val="24"/>
          <w:szCs w:val="24"/>
        </w:rPr>
        <w:t xml:space="preserve"> in emerging technologies such as blockchain, AI, and cybersecurity—skills directly relevant to secure and transparent election systems.</w:t>
      </w:r>
    </w:p>
    <w:p w14:paraId="62B09B0C">
      <w:pPr>
        <w:numPr>
          <w:ilvl w:val="0"/>
          <w:numId w:val="1"/>
        </w:numPr>
        <w:spacing w:line="240" w:lineRule="auto"/>
        <w:rPr>
          <w:rFonts w:hint="default" w:ascii="Verdana" w:hAnsi="Verdana" w:cs="Verdana"/>
          <w:sz w:val="24"/>
          <w:szCs w:val="24"/>
        </w:rPr>
      </w:pPr>
      <w:r>
        <w:rPr>
          <w:rFonts w:hint="default" w:ascii="Verdana" w:hAnsi="Verdana" w:cs="Verdana"/>
          <w:sz w:val="24"/>
          <w:szCs w:val="24"/>
        </w:rPr>
        <w:t>Nigeria Enterprise Architecture (NGEA) Framework (2022</w:t>
      </w:r>
      <w:r>
        <w:rPr>
          <w:rFonts w:hint="default" w:ascii="Verdana" w:hAnsi="Verdana" w:cs="Verdana"/>
          <w:sz w:val="24"/>
          <w:szCs w:val="24"/>
          <w:lang w:val="en-US"/>
        </w:rPr>
        <w:t>, and currently under-going review</w:t>
      </w:r>
      <w:r>
        <w:rPr>
          <w:rFonts w:hint="default" w:ascii="Verdana" w:hAnsi="Verdana" w:cs="Verdana"/>
          <w:sz w:val="24"/>
          <w:szCs w:val="24"/>
        </w:rPr>
        <w:t>)</w:t>
      </w:r>
      <w:r>
        <w:rPr>
          <w:rFonts w:hint="default" w:ascii="Verdana" w:hAnsi="Verdana" w:cs="Verdana"/>
          <w:sz w:val="24"/>
          <w:szCs w:val="24"/>
          <w:lang w:val="en-US"/>
        </w:rPr>
        <w:t xml:space="preserve"> </w:t>
      </w:r>
      <w:r>
        <w:rPr>
          <w:rFonts w:hint="default" w:ascii="Verdana" w:hAnsi="Verdana" w:cs="Verdana"/>
          <w:sz w:val="24"/>
          <w:szCs w:val="24"/>
        </w:rPr>
        <w:t>provides structured digital governance models that can be adapted for electoral systems, ensuring interoperability and accountability.</w:t>
      </w:r>
    </w:p>
    <w:p w14:paraId="21E9A2C5">
      <w:pPr>
        <w:numPr>
          <w:ilvl w:val="0"/>
          <w:numId w:val="1"/>
        </w:numPr>
        <w:spacing w:line="240" w:lineRule="auto"/>
        <w:rPr>
          <w:rFonts w:hint="default" w:ascii="Verdana" w:hAnsi="Verdana" w:cs="Verdana"/>
          <w:sz w:val="24"/>
          <w:szCs w:val="24"/>
        </w:rPr>
      </w:pPr>
      <w:r>
        <w:rPr>
          <w:rFonts w:hint="default" w:ascii="Verdana" w:hAnsi="Verdana" w:cs="Verdana"/>
          <w:sz w:val="24"/>
          <w:szCs w:val="24"/>
          <w:lang w:val="en-US"/>
        </w:rPr>
        <w:t>NITDA w</w:t>
      </w:r>
      <w:r>
        <w:rPr>
          <w:rFonts w:hint="default" w:ascii="Verdana" w:hAnsi="Verdana" w:cs="Verdana"/>
          <w:sz w:val="24"/>
          <w:szCs w:val="24"/>
        </w:rPr>
        <w:t xml:space="preserve">orking closely with NDPC and ONSA, </w:t>
      </w:r>
      <w:r>
        <w:rPr>
          <w:rFonts w:hint="default" w:ascii="Verdana" w:hAnsi="Verdana" w:cs="Verdana"/>
          <w:sz w:val="24"/>
          <w:szCs w:val="24"/>
          <w:lang w:val="en-US"/>
        </w:rPr>
        <w:t xml:space="preserve">we have </w:t>
      </w:r>
      <w:r>
        <w:rPr>
          <w:rFonts w:hint="default" w:ascii="Verdana" w:hAnsi="Verdana" w:cs="Verdana"/>
          <w:sz w:val="24"/>
          <w:szCs w:val="24"/>
        </w:rPr>
        <w:t>strengthened Nigeria’s data governance and cybersecurity frameworks, critical for protecting electoral data against manipulation.</w:t>
      </w:r>
    </w:p>
    <w:p w14:paraId="1B1613A5">
      <w:pPr>
        <w:spacing w:line="240" w:lineRule="auto"/>
        <w:rPr>
          <w:rFonts w:hint="default" w:ascii="Verdana" w:hAnsi="Verdana" w:cs="Verdana"/>
          <w:sz w:val="24"/>
          <w:szCs w:val="24"/>
        </w:rPr>
      </w:pPr>
      <w:r>
        <w:rPr>
          <w:rFonts w:hint="default" w:ascii="Verdana" w:hAnsi="Verdana" w:cs="Verdana"/>
          <w:sz w:val="24"/>
          <w:szCs w:val="24"/>
        </w:rPr>
        <w:t>These initiatives demonstrate that Nigeria is not starting from scratch. We already have the infrastructure, skills, and governance frameworks to mainstream advanced technologies into election management.</w:t>
      </w:r>
    </w:p>
    <w:p w14:paraId="38FC5DA2">
      <w:pPr>
        <w:spacing w:line="240" w:lineRule="auto"/>
        <w:rPr>
          <w:rFonts w:hint="default" w:ascii="Verdana" w:hAnsi="Verdana" w:cs="Verdana"/>
          <w:sz w:val="24"/>
          <w:szCs w:val="24"/>
        </w:rPr>
      </w:pPr>
      <w:r>
        <w:rPr>
          <w:rFonts w:hint="default" w:ascii="Verdana" w:hAnsi="Verdana" w:cs="Verdana"/>
          <w:sz w:val="24"/>
          <w:szCs w:val="24"/>
        </w:rPr>
        <w:t>But let me emphasize: technology is not a silver bullet. Blockchain and AI can enhance credibility, but they cannot replace political will, institutional integrity, and civic responsibility. For Nigeria to truly mainstream technology in election management, we must combine innovation with accountability.</w:t>
      </w:r>
    </w:p>
    <w:p w14:paraId="44A0EEA3">
      <w:pPr>
        <w:spacing w:line="240" w:lineRule="auto"/>
        <w:rPr>
          <w:rFonts w:hint="default" w:ascii="Verdana" w:hAnsi="Verdana" w:cs="Verdana"/>
          <w:sz w:val="24"/>
          <w:szCs w:val="24"/>
        </w:rPr>
      </w:pPr>
      <w:r>
        <w:rPr>
          <w:rFonts w:hint="default" w:ascii="Verdana" w:hAnsi="Verdana" w:cs="Verdana"/>
          <w:sz w:val="24"/>
          <w:szCs w:val="24"/>
        </w:rPr>
        <w:t>As we look ahead to future elections, let us commit to building systems that are not only digital but also democratic—systems that reflect the will of the people, protect their rights, and strengthen their trust in governance.</w:t>
      </w:r>
    </w:p>
    <w:p w14:paraId="6CEFB46F">
      <w:pPr>
        <w:spacing w:line="240" w:lineRule="auto"/>
        <w:rPr>
          <w:rFonts w:hint="default" w:ascii="Verdana" w:hAnsi="Verdana" w:cs="Verdana"/>
          <w:sz w:val="24"/>
          <w:szCs w:val="24"/>
        </w:rPr>
      </w:pPr>
      <w:r>
        <w:rPr>
          <w:rFonts w:hint="default" w:ascii="Verdana" w:hAnsi="Verdana" w:cs="Verdana"/>
          <w:sz w:val="24"/>
          <w:szCs w:val="24"/>
        </w:rPr>
        <w:t>Together, we can set a new benchmark for electoral integrity in Africa, and NITDA stands ready to provide the digital leadership required to make this vision a reality.</w:t>
      </w:r>
    </w:p>
    <w:p w14:paraId="4613C499">
      <w:pPr>
        <w:spacing w:line="240" w:lineRule="auto"/>
        <w:rPr>
          <w:rFonts w:hint="default" w:ascii="Verdana" w:hAnsi="Verdana" w:cs="Verdana"/>
          <w:sz w:val="24"/>
          <w:szCs w:val="24"/>
        </w:rPr>
      </w:pPr>
      <w:r>
        <w:rPr>
          <w:rFonts w:hint="default" w:ascii="Verdana" w:hAnsi="Verdana" w:cs="Verdana"/>
          <w:sz w:val="24"/>
          <w:szCs w:val="24"/>
        </w:rPr>
        <w:t>Thank you.</w:t>
      </w: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18712C"/>
    <w:multiLevelType w:val="multilevel"/>
    <w:tmpl w:val="5718712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890"/>
    <w:rsid w:val="00506095"/>
    <w:rsid w:val="00F9563E"/>
    <w:rsid w:val="00FB2890"/>
    <w:rsid w:val="023D7631"/>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EastAsia" w:cstheme="minorBidi"/>
      <w:kern w:val="2"/>
      <w:sz w:val="24"/>
      <w:szCs w:val="24"/>
      <w:lang w:val="zh-CN" w:eastAsia="zh-CN" w:bidi="ar-SA"/>
      <w14:ligatures w14:val="standardContextual"/>
    </w:rPr>
  </w:style>
  <w:style w:type="paragraph" w:styleId="2">
    <w:name w:val="heading 1"/>
    <w:basedOn w:val="1"/>
    <w:next w:val="1"/>
    <w:link w:val="17"/>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19"/>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0"/>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1"/>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2"/>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3"/>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5"/>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Normal (Web)"/>
    <w:semiHidden/>
    <w:unhideWhenUsed/>
    <w:uiPriority w:val="99"/>
    <w:pPr>
      <w:spacing w:before="0" w:beforeAutospacing="1" w:after="0" w:afterAutospacing="1"/>
      <w:ind w:left="0" w:right="0"/>
      <w:jc w:val="left"/>
    </w:pPr>
    <w:rPr>
      <w:kern w:val="0"/>
      <w:sz w:val="24"/>
      <w:szCs w:val="24"/>
      <w:lang w:val="en-US" w:eastAsia="zh-CN" w:bidi="ar"/>
    </w:rPr>
  </w:style>
  <w:style w:type="character" w:styleId="14">
    <w:name w:val="Strong"/>
    <w:basedOn w:val="11"/>
    <w:qFormat/>
    <w:uiPriority w:val="22"/>
    <w:rPr>
      <w:b/>
      <w:bCs/>
    </w:rPr>
  </w:style>
  <w:style w:type="paragraph" w:styleId="15">
    <w:name w:val="Subtitle"/>
    <w:basedOn w:val="1"/>
    <w:next w:val="1"/>
    <w:link w:val="27"/>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itle"/>
    <w:basedOn w:val="1"/>
    <w:next w:val="1"/>
    <w:link w:val="26"/>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7">
    <w:name w:val="Heading 1 Char"/>
    <w:basedOn w:val="11"/>
    <w:link w:val="2"/>
    <w:uiPriority w:val="9"/>
    <w:rPr>
      <w:rFonts w:asciiTheme="majorHAnsi" w:hAnsiTheme="majorHAnsi" w:eastAsiaTheme="majorEastAsia" w:cstheme="majorBidi"/>
      <w:color w:val="104862" w:themeColor="accent1" w:themeShade="BF"/>
      <w:sz w:val="40"/>
      <w:szCs w:val="40"/>
    </w:rPr>
  </w:style>
  <w:style w:type="character" w:customStyle="1" w:styleId="18">
    <w:name w:val="Heading 2 Char"/>
    <w:basedOn w:val="11"/>
    <w:link w:val="3"/>
    <w:semiHidden/>
    <w:qFormat/>
    <w:uiPriority w:val="9"/>
    <w:rPr>
      <w:rFonts w:asciiTheme="majorHAnsi" w:hAnsiTheme="majorHAnsi" w:eastAsiaTheme="majorEastAsia" w:cstheme="majorBidi"/>
      <w:color w:val="104862" w:themeColor="accent1" w:themeShade="BF"/>
      <w:sz w:val="32"/>
      <w:szCs w:val="32"/>
    </w:rPr>
  </w:style>
  <w:style w:type="character" w:customStyle="1" w:styleId="19">
    <w:name w:val="Heading 3 Char"/>
    <w:basedOn w:val="11"/>
    <w:link w:val="4"/>
    <w:semiHidden/>
    <w:qFormat/>
    <w:uiPriority w:val="9"/>
    <w:rPr>
      <w:rFonts w:eastAsiaTheme="majorEastAsia" w:cstheme="majorBidi"/>
      <w:color w:val="104862" w:themeColor="accent1" w:themeShade="BF"/>
      <w:sz w:val="28"/>
      <w:szCs w:val="28"/>
    </w:rPr>
  </w:style>
  <w:style w:type="character" w:customStyle="1" w:styleId="20">
    <w:name w:val="Heading 4 Char"/>
    <w:basedOn w:val="11"/>
    <w:link w:val="5"/>
    <w:semiHidden/>
    <w:uiPriority w:val="9"/>
    <w:rPr>
      <w:rFonts w:eastAsiaTheme="majorEastAsia" w:cstheme="majorBidi"/>
      <w:i/>
      <w:iCs/>
      <w:color w:val="104862" w:themeColor="accent1" w:themeShade="BF"/>
    </w:rPr>
  </w:style>
  <w:style w:type="character" w:customStyle="1" w:styleId="21">
    <w:name w:val="Heading 5 Char"/>
    <w:basedOn w:val="11"/>
    <w:link w:val="6"/>
    <w:semiHidden/>
    <w:uiPriority w:val="9"/>
    <w:rPr>
      <w:rFonts w:eastAsiaTheme="majorEastAsia" w:cstheme="majorBidi"/>
      <w:color w:val="104862" w:themeColor="accent1" w:themeShade="BF"/>
    </w:rPr>
  </w:style>
  <w:style w:type="character" w:customStyle="1" w:styleId="22">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3">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Heading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5">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6">
    <w:name w:val="Title Char"/>
    <w:basedOn w:val="11"/>
    <w:link w:val="16"/>
    <w:qFormat/>
    <w:uiPriority w:val="10"/>
    <w:rPr>
      <w:rFonts w:asciiTheme="majorHAnsi" w:hAnsiTheme="majorHAnsi" w:eastAsiaTheme="majorEastAsia" w:cstheme="majorBidi"/>
      <w:spacing w:val="-10"/>
      <w:kern w:val="28"/>
      <w:sz w:val="56"/>
      <w:szCs w:val="56"/>
    </w:rPr>
  </w:style>
  <w:style w:type="character" w:customStyle="1" w:styleId="27">
    <w:name w:val="Subtitle Char"/>
    <w:basedOn w:val="11"/>
    <w:link w:val="15"/>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Quote Char"/>
    <w:basedOn w:val="11"/>
    <w:link w:val="28"/>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1"/>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Intense Quote Char"/>
    <w:basedOn w:val="11"/>
    <w:link w:val="32"/>
    <w:uiPriority w:val="30"/>
    <w:rPr>
      <w:i/>
      <w:iCs/>
      <w:color w:val="104862" w:themeColor="accent1" w:themeShade="BF"/>
    </w:rPr>
  </w:style>
  <w:style w:type="character" w:customStyle="1" w:styleId="34">
    <w:name w:val="Intense Reference"/>
    <w:basedOn w:val="11"/>
    <w:qFormat/>
    <w:uiPriority w:val="32"/>
    <w:rPr>
      <w:b/>
      <w:bCs/>
      <w:smallCaps/>
      <w:color w:val="104862" w:themeColor="accent1" w:themeShade="BF"/>
      <w:spacing w:val="5"/>
    </w:rPr>
  </w:style>
  <w:style w:type="paragraph" w:styleId="35">
    <w:name w:val="No Spacing"/>
    <w:qFormat/>
    <w:uiPriority w:val="1"/>
    <w:pPr>
      <w:spacing w:after="0" w:line="240" w:lineRule="auto"/>
    </w:pPr>
    <w:rPr>
      <w:rFonts w:asciiTheme="minorHAnsi" w:hAnsiTheme="minorHAnsi" w:eastAsiaTheme="minorHAnsi" w:cstheme="minorBidi"/>
      <w:kern w:val="0"/>
      <w:sz w:val="22"/>
      <w:szCs w:val="22"/>
      <w:lang w:val="en-US" w:eastAsia="en-US" w:bidi="ar-SA"/>
      <w14:ligatures w14: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4</Pages>
  <Words>517</Words>
  <Characters>3193</Characters>
  <Lines>26</Lines>
  <Paragraphs>7</Paragraphs>
  <TotalTime>26</TotalTime>
  <ScaleCrop>false</ScaleCrop>
  <LinksUpToDate>false</LinksUpToDate>
  <CharactersWithSpaces>3678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2026-09-07T22:08:00Z</dcterms:created>
  <dc:creator>Salisu Kaka</dc:creator>
  <cp:lastModifiedBy>Salisu KAKA</cp:lastModifiedBy>
  <dcterms:modified xsi:type="dcterms:W3CDTF">2026-09-08T22:12:37Z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eyJoZGlkIjoiZWYzNDNhN2QwZmNkMzU4MzM0ZTY4YjY0MzMwOTNmYTciLCJ1c2VySWQiOiIxNjY2NTE0NzI4MjUwIn0=</vt:lpwstr>
  </property>
  <property fmtid="{D5CDD505-2E9C-101B-9397-08002B2CF9AE}" pid="3" name="KSOProductBuildVer">
    <vt:lpwstr>1033-12.1.0.28485</vt:lpwstr>
  </property>
  <property fmtid="{D5CDD505-2E9C-101B-9397-08002B2CF9AE}" pid="4" name="ICV">
    <vt:lpwstr>CA4D664560BA4DFEB1C0FAD03295CE63_12</vt:lpwstr>
  </property>
</Properties>
</file>